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AF4CA-BF6C-4BC1-80BC-A4B303A99B6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